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C2E6F" w14:textId="77777777" w:rsidR="001E0E03" w:rsidRPr="001E0E03" w:rsidRDefault="001E0E03" w:rsidP="001E0E03">
      <w:pPr>
        <w:rPr>
          <w:lang w:eastAsia="ar-SA"/>
        </w:rPr>
      </w:pPr>
    </w:p>
    <w:p w14:paraId="345A7C68" w14:textId="5F698253" w:rsidR="001B7098" w:rsidRPr="001E0E03" w:rsidRDefault="001B7098" w:rsidP="001B7098">
      <w:pPr>
        <w:pStyle w:val="WW-Podpispodobiektem"/>
        <w:spacing w:line="260" w:lineRule="atLeas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1E0E0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sz w:val="22"/>
          <w:szCs w:val="22"/>
        </w:rPr>
        <w:t>4</w:t>
      </w:r>
      <w:r w:rsidRPr="001E0E03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0E637255" w14:textId="77777777" w:rsidR="001B7098" w:rsidRPr="004374AA" w:rsidRDefault="001B7098" w:rsidP="001B7098">
      <w:pPr>
        <w:spacing w:line="32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00BAB547" w14:textId="7AB14D40" w:rsidR="001B7098" w:rsidRPr="00F87CFE" w:rsidRDefault="001B7098" w:rsidP="00F87CFE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CFE">
        <w:rPr>
          <w:rFonts w:asciiTheme="minorHAnsi" w:hAnsiTheme="minorHAnsi" w:cstheme="minorHAnsi"/>
          <w:b/>
          <w:sz w:val="28"/>
          <w:szCs w:val="28"/>
          <w:u w:val="single"/>
        </w:rPr>
        <w:t>Oświadczenie podmiotu udostępniającego zasoby, tj.</w:t>
      </w:r>
    </w:p>
    <w:p w14:paraId="15C90491" w14:textId="77777777" w:rsidR="001B7098" w:rsidRPr="00F87CFE" w:rsidRDefault="001B7098" w:rsidP="001B7098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87CFE">
        <w:rPr>
          <w:rFonts w:asciiTheme="minorHAnsi" w:hAnsiTheme="minorHAnsi" w:cstheme="minorHAnsi"/>
          <w:b/>
          <w:sz w:val="28"/>
          <w:szCs w:val="28"/>
        </w:rPr>
        <w:t xml:space="preserve">……………………………………….………………………… </w:t>
      </w:r>
    </w:p>
    <w:p w14:paraId="5BC0E2C0" w14:textId="77777777" w:rsidR="001B7098" w:rsidRPr="002C411E" w:rsidRDefault="001B7098" w:rsidP="001B7098">
      <w:pPr>
        <w:spacing w:line="340" w:lineRule="exact"/>
        <w:jc w:val="center"/>
        <w:rPr>
          <w:rFonts w:asciiTheme="minorHAnsi" w:hAnsiTheme="minorHAnsi" w:cstheme="minorHAnsi"/>
          <w:bCs/>
          <w:i/>
          <w:iCs/>
          <w:sz w:val="28"/>
          <w:szCs w:val="28"/>
          <w:vertAlign w:val="superscript"/>
        </w:rPr>
      </w:pPr>
      <w:r w:rsidRPr="002C411E">
        <w:rPr>
          <w:rFonts w:asciiTheme="minorHAnsi" w:hAnsiTheme="minorHAnsi" w:cstheme="minorHAnsi"/>
          <w:bCs/>
          <w:i/>
          <w:iCs/>
          <w:sz w:val="28"/>
          <w:szCs w:val="28"/>
          <w:vertAlign w:val="superscript"/>
        </w:rPr>
        <w:t xml:space="preserve">(wskazać nazwę podmiotu) </w:t>
      </w:r>
    </w:p>
    <w:p w14:paraId="11C7CE4F" w14:textId="77777777" w:rsidR="001B7098" w:rsidRPr="00F87CFE" w:rsidRDefault="001B7098" w:rsidP="006E3B8B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125 ust. 1 i 5 ustawy </w:t>
      </w:r>
    </w:p>
    <w:p w14:paraId="455EAE44" w14:textId="42952B8B" w:rsidR="001B7098" w:rsidRPr="00F87CFE" w:rsidRDefault="001B7098" w:rsidP="006E3B8B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87CFE">
        <w:rPr>
          <w:rFonts w:asciiTheme="minorHAnsi" w:hAnsiTheme="minorHAnsi" w:cstheme="minorHAnsi"/>
          <w:sz w:val="28"/>
          <w:szCs w:val="28"/>
        </w:rPr>
        <w:t>z dnia 11 września 2019 r.  Prawo zamówień publicznych</w:t>
      </w:r>
    </w:p>
    <w:p w14:paraId="5C503EAB" w14:textId="77777777" w:rsidR="001B7098" w:rsidRPr="00F87CFE" w:rsidRDefault="001B7098" w:rsidP="006E3B8B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87CFE">
        <w:rPr>
          <w:rFonts w:asciiTheme="minorHAnsi" w:hAnsiTheme="minorHAnsi" w:cstheme="minorHAnsi"/>
          <w:sz w:val="28"/>
          <w:szCs w:val="28"/>
        </w:rPr>
        <w:t xml:space="preserve">na potrzeby postępowania o udzielenie zamówienia publicznego pn: </w:t>
      </w:r>
    </w:p>
    <w:p w14:paraId="10393A71" w14:textId="06DF4FD8" w:rsidR="00BC634A" w:rsidRPr="00BC634A" w:rsidRDefault="00BC634A" w:rsidP="00BC634A">
      <w:pPr>
        <w:spacing w:after="0" w:line="240" w:lineRule="auto"/>
        <w:jc w:val="center"/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</w:pPr>
      <w:r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  <w:t>W</w:t>
      </w:r>
      <w:r w:rsidRPr="00BC634A"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  <w:t xml:space="preserve">ykonanie w systemie „zaprojektuj i wybuduj” </w:t>
      </w:r>
    </w:p>
    <w:p w14:paraId="7E83C754" w14:textId="77777777" w:rsidR="00BC634A" w:rsidRPr="00BC634A" w:rsidRDefault="00BC634A" w:rsidP="00BC634A">
      <w:pPr>
        <w:spacing w:after="0" w:line="240" w:lineRule="auto"/>
        <w:jc w:val="center"/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</w:pPr>
      <w:r w:rsidRPr="00BC634A"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  <w:t xml:space="preserve">„Modernizacji kompleksu sportowego przy ul. Marii Konopnickiej” </w:t>
      </w:r>
    </w:p>
    <w:p w14:paraId="3A48413F" w14:textId="2082F042" w:rsidR="001B7098" w:rsidRPr="00F87CFE" w:rsidRDefault="00BC634A" w:rsidP="00BC634A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C634A"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  <w:t xml:space="preserve">w ramach zadania inwestycyjnego pn.: Modernizacja kompleksów sportowych „Moje Boisko – Orlik 2012” w Łowiczu przy ul. Grunwaldzkiej i przy ul. Marii Konopnickiej </w:t>
      </w:r>
      <w:r w:rsidR="001B7098" w:rsidRPr="00F87CFE">
        <w:rPr>
          <w:rFonts w:asciiTheme="minorHAnsi" w:hAnsiTheme="minorHAnsi" w:cstheme="minorHAnsi"/>
          <w:sz w:val="28"/>
          <w:szCs w:val="28"/>
        </w:rPr>
        <w:t>prowadzonego przez  Zamawiającego Miasto Łowicz</w:t>
      </w:r>
    </w:p>
    <w:p w14:paraId="00FBE4F5" w14:textId="77777777" w:rsidR="001B7098" w:rsidRPr="004374AA" w:rsidRDefault="001B7098" w:rsidP="001B7098">
      <w:pPr>
        <w:spacing w:line="340" w:lineRule="exact"/>
        <w:ind w:firstLine="709"/>
        <w:jc w:val="both"/>
        <w:rPr>
          <w:rFonts w:asciiTheme="minorHAnsi" w:hAnsiTheme="minorHAnsi" w:cstheme="minorHAnsi"/>
        </w:rPr>
      </w:pPr>
    </w:p>
    <w:p w14:paraId="5A8B4107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</w:rPr>
      </w:pPr>
      <w:bookmarkStart w:id="0" w:name="_Hlk103587392"/>
      <w:r w:rsidRPr="004374AA">
        <w:rPr>
          <w:rFonts w:asciiTheme="minorHAnsi" w:hAnsiTheme="minorHAnsi" w:cstheme="minorHAnsi"/>
          <w:b/>
        </w:rPr>
        <w:t xml:space="preserve">I. OŚWIADCZENIE DOTYCZĄCE </w:t>
      </w:r>
      <w:r w:rsidRPr="004374AA">
        <w:rPr>
          <w:rFonts w:asciiTheme="minorHAnsi" w:hAnsiTheme="minorHAnsi" w:cstheme="minorHAnsi"/>
          <w:b/>
          <w:u w:val="single"/>
        </w:rPr>
        <w:t>PRZESŁANEK WYKLUCZENIA Z POSTĘPOWANIA:</w:t>
      </w:r>
    </w:p>
    <w:bookmarkEnd w:id="0"/>
    <w:p w14:paraId="2B4A81F6" w14:textId="77777777" w:rsidR="001B7098" w:rsidRPr="004374AA" w:rsidRDefault="001B7098" w:rsidP="001B7098">
      <w:pPr>
        <w:spacing w:line="340" w:lineRule="exact"/>
        <w:ind w:firstLine="709"/>
        <w:jc w:val="both"/>
        <w:rPr>
          <w:rFonts w:asciiTheme="minorHAnsi" w:hAnsiTheme="minorHAnsi" w:cstheme="minorHAnsi"/>
        </w:rPr>
      </w:pPr>
    </w:p>
    <w:p w14:paraId="64688631" w14:textId="77777777" w:rsidR="001B7098" w:rsidRPr="004374AA" w:rsidRDefault="001B7098">
      <w:pPr>
        <w:numPr>
          <w:ilvl w:val="2"/>
          <w:numId w:val="6"/>
        </w:numPr>
        <w:tabs>
          <w:tab w:val="clear" w:pos="2340"/>
          <w:tab w:val="num" w:pos="360"/>
        </w:tabs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 xml:space="preserve">Oświadczam, że </w:t>
      </w:r>
      <w:r w:rsidRPr="004374AA">
        <w:rPr>
          <w:rFonts w:asciiTheme="minorHAnsi" w:hAnsiTheme="minorHAnsi" w:cstheme="minorHAnsi"/>
          <w:b/>
          <w:bCs/>
        </w:rPr>
        <w:t>nie podlegam</w:t>
      </w:r>
      <w:r w:rsidRPr="004374AA">
        <w:rPr>
          <w:rFonts w:asciiTheme="minorHAnsi" w:hAnsiTheme="minorHAnsi" w:cstheme="minorHAnsi"/>
        </w:rPr>
        <w:t xml:space="preserve"> wykluczeniu z postępowania na podstawie art. 108 ust. 1 ustawy Pzp.</w:t>
      </w:r>
    </w:p>
    <w:p w14:paraId="18F0FF1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</w:p>
    <w:p w14:paraId="7077B1EE" w14:textId="77777777" w:rsidR="001B7098" w:rsidRPr="004374AA" w:rsidRDefault="001B7098">
      <w:pPr>
        <w:numPr>
          <w:ilvl w:val="2"/>
          <w:numId w:val="6"/>
        </w:numPr>
        <w:tabs>
          <w:tab w:val="clear" w:pos="2340"/>
          <w:tab w:val="num" w:pos="360"/>
        </w:tabs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  <w:b/>
          <w:bCs/>
          <w:vertAlign w:val="superscript"/>
        </w:rPr>
        <w:t>1)</w:t>
      </w:r>
      <w:r w:rsidRPr="004374AA">
        <w:rPr>
          <w:rFonts w:asciiTheme="minorHAnsi" w:hAnsiTheme="minorHAnsi" w:cstheme="minorHAnsi"/>
          <w:vertAlign w:val="superscript"/>
        </w:rPr>
        <w:t xml:space="preserve"> </w:t>
      </w:r>
      <w:r w:rsidRPr="004374AA">
        <w:rPr>
          <w:rFonts w:asciiTheme="minorHAnsi" w:hAnsiTheme="minorHAnsi" w:cstheme="minorHAnsi"/>
        </w:rPr>
        <w:t>Oświadczam, że zachodzą</w:t>
      </w:r>
      <w:r w:rsidRPr="004374AA">
        <w:rPr>
          <w:rFonts w:asciiTheme="minorHAnsi" w:hAnsiTheme="minorHAnsi" w:cstheme="minorHAnsi"/>
          <w:b/>
          <w:bCs/>
        </w:rPr>
        <w:t xml:space="preserve"> </w:t>
      </w:r>
      <w:r w:rsidRPr="004374AA">
        <w:rPr>
          <w:rFonts w:asciiTheme="minorHAnsi" w:hAnsiTheme="minorHAnsi" w:cstheme="minorHAnsi"/>
        </w:rPr>
        <w:t xml:space="preserve">w stosunku do mnie podstawy wykluczenia z postępowania wskazane w art. …………. ustawy Pzp </w:t>
      </w:r>
      <w:r w:rsidRPr="004374AA">
        <w:rPr>
          <w:rFonts w:asciiTheme="minorHAnsi" w:hAnsiTheme="minorHAnsi" w:cstheme="minorHAnsi"/>
          <w:i/>
          <w:sz w:val="20"/>
        </w:rPr>
        <w:t>(podać mającą zastosowanie podstawę wykluczenia spośród wymienionych w art. 108 ust. 1 ustawy Pzp).</w:t>
      </w:r>
      <w:r w:rsidRPr="004374AA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naprawcze: </w:t>
      </w:r>
    </w:p>
    <w:p w14:paraId="3AF1F2B8" w14:textId="77777777" w:rsidR="001B7098" w:rsidRPr="004374AA" w:rsidRDefault="001B7098" w:rsidP="001B7098">
      <w:pPr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6EF94F0A" w14:textId="77777777" w:rsidR="001B7098" w:rsidRPr="004374AA" w:rsidRDefault="001B7098" w:rsidP="001B7098">
      <w:pPr>
        <w:spacing w:line="340" w:lineRule="exact"/>
        <w:ind w:left="36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…………………………………………………………………………………………..…</w:t>
      </w:r>
    </w:p>
    <w:p w14:paraId="6D5A166F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</w:rPr>
      </w:pPr>
      <w:bookmarkStart w:id="1" w:name="_Hlk112917019"/>
      <w:bookmarkStart w:id="2" w:name="_Hlk103588268"/>
      <w:r w:rsidRPr="004374AA">
        <w:rPr>
          <w:rFonts w:asciiTheme="minorHAnsi" w:hAnsiTheme="minorHAnsi" w:cstheme="minorHAnsi"/>
          <w:b/>
        </w:rPr>
        <w:t>II.</w:t>
      </w:r>
      <w:r w:rsidRPr="004374AA">
        <w:rPr>
          <w:rFonts w:asciiTheme="minorHAnsi" w:hAnsiTheme="minorHAnsi" w:cstheme="minorHAnsi"/>
        </w:rPr>
        <w:t xml:space="preserve"> </w:t>
      </w:r>
      <w:r w:rsidRPr="004374AA">
        <w:rPr>
          <w:rFonts w:asciiTheme="minorHAnsi" w:hAnsiTheme="minorHAnsi" w:cstheme="minorHAnsi"/>
          <w:b/>
          <w:bCs/>
        </w:rPr>
        <w:t>OŚWIADCZENIE UWZGLĘDNIAJĄCE PRZESŁANKI WYKLUCZENIA Z ART. 7 UST. 1 USTAWY O SZCZEGÓLNYCH ROZWIĄZANIACH W ZAKRESIE PRZECIWDZIAŁANIA WSPIERANIU AGRESJI NA UKRAINĘ ORAZ SŁUŻĄCYCH OCHRONIE BEZPIECZEŃSTWA NARODOWEGO :</w:t>
      </w:r>
    </w:p>
    <w:p w14:paraId="341B9E6E" w14:textId="77777777" w:rsidR="001B7098" w:rsidRPr="004374AA" w:rsidRDefault="001B7098" w:rsidP="001B70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299B06A" w14:textId="6CA413E3" w:rsidR="001B7098" w:rsidRPr="004374AA" w:rsidRDefault="001B7098" w:rsidP="001B7098">
      <w:pPr>
        <w:autoSpaceDE w:val="0"/>
        <w:autoSpaceDN w:val="0"/>
        <w:adjustRightInd w:val="0"/>
        <w:spacing w:line="360" w:lineRule="auto"/>
        <w:ind w:left="340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lastRenderedPageBreak/>
        <w:t>1) Oświadczam, że nie zachodzą w stosunku do mnie przesłanki wykluczenia z</w:t>
      </w:r>
      <w:r w:rsidR="00E15068">
        <w:rPr>
          <w:rFonts w:asciiTheme="minorHAnsi" w:hAnsiTheme="minorHAnsi" w:cstheme="minorHAnsi"/>
        </w:rPr>
        <w:t> </w:t>
      </w:r>
      <w:r w:rsidRPr="004374AA">
        <w:rPr>
          <w:rFonts w:asciiTheme="minorHAnsi" w:hAnsiTheme="minorHAnsi" w:cstheme="minorHAnsi"/>
        </w:rPr>
        <w:t>postępowania na podstawie art.  7 ust. 1 ustawy z dnia 13 kwietnia 2022 r. o szczególnych rozwiązaniach w zakresie przeciwdziałania wspieraniu agresji na Ukrainę oraz służących ochronie bezpieczeństwa narodowego (</w:t>
      </w:r>
      <w:r w:rsidR="00F11369" w:rsidRPr="00CB6F3F">
        <w:rPr>
          <w:rFonts w:asciiTheme="minorHAnsi" w:hAnsiTheme="minorHAnsi" w:cstheme="minorHAnsi"/>
        </w:rPr>
        <w:t>Dz.U.2025.514 t.j. z</w:t>
      </w:r>
      <w:r w:rsidR="00F11369">
        <w:rPr>
          <w:rFonts w:asciiTheme="minorHAnsi" w:hAnsiTheme="minorHAnsi" w:cstheme="minorHAnsi"/>
        </w:rPr>
        <w:t> </w:t>
      </w:r>
      <w:r w:rsidR="00F11369" w:rsidRPr="00CB6F3F">
        <w:rPr>
          <w:rFonts w:asciiTheme="minorHAnsi" w:hAnsiTheme="minorHAnsi" w:cstheme="minorHAnsi"/>
        </w:rPr>
        <w:t>dnia 2025.04.18</w:t>
      </w:r>
      <w:r w:rsidRPr="004374AA">
        <w:rPr>
          <w:rFonts w:asciiTheme="minorHAnsi" w:hAnsiTheme="minorHAnsi" w:cstheme="minorHAnsi"/>
        </w:rPr>
        <w:t>).</w:t>
      </w:r>
      <w:r w:rsidRPr="004374AA">
        <w:rPr>
          <w:rFonts w:asciiTheme="minorHAnsi" w:hAnsiTheme="minorHAnsi" w:cstheme="minorHAnsi"/>
          <w:vertAlign w:val="superscript"/>
        </w:rPr>
        <w:t>2</w:t>
      </w:r>
      <w:bookmarkEnd w:id="1"/>
    </w:p>
    <w:p w14:paraId="7D118CCC" w14:textId="77777777" w:rsidR="001B7098" w:rsidRPr="004374AA" w:rsidRDefault="001B7098" w:rsidP="001B709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5537A74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u w:val="single"/>
        </w:rPr>
      </w:pPr>
      <w:bookmarkStart w:id="3" w:name="_Hlk103589141"/>
      <w:bookmarkEnd w:id="2"/>
      <w:r w:rsidRPr="004374AA">
        <w:rPr>
          <w:rFonts w:asciiTheme="minorHAnsi" w:hAnsiTheme="minorHAnsi" w:cstheme="minorHAnsi"/>
          <w:b/>
        </w:rPr>
        <w:t xml:space="preserve">III. OŚWIADCZENIE DOTYCZĄCE </w:t>
      </w:r>
      <w:r w:rsidRPr="004374AA">
        <w:rPr>
          <w:rFonts w:asciiTheme="minorHAnsi" w:hAnsiTheme="minorHAnsi" w:cstheme="minorHAnsi"/>
          <w:b/>
          <w:bCs/>
          <w:u w:val="single"/>
        </w:rPr>
        <w:t>SPEŁNIANIA WARUNKÓW UDZIAŁU W POSTĘPOWANIU</w:t>
      </w:r>
    </w:p>
    <w:p w14:paraId="0E8D6FD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Oświadczam, że spełniam warunki udziału w postępowaniu określone w pkt. 7 SWZ, w zakresie w jakim udostępniam zasoby.</w:t>
      </w:r>
    </w:p>
    <w:bookmarkEnd w:id="3"/>
    <w:p w14:paraId="63091BD8" w14:textId="77777777" w:rsidR="001B7098" w:rsidRPr="004374AA" w:rsidRDefault="001B7098" w:rsidP="001B7098">
      <w:pPr>
        <w:tabs>
          <w:tab w:val="num" w:pos="480"/>
        </w:tabs>
        <w:spacing w:line="340" w:lineRule="exact"/>
        <w:jc w:val="both"/>
        <w:rPr>
          <w:rFonts w:asciiTheme="minorHAnsi" w:hAnsiTheme="minorHAnsi" w:cstheme="minorHAnsi"/>
        </w:rPr>
      </w:pPr>
    </w:p>
    <w:p w14:paraId="6F7E0DE6" w14:textId="77777777" w:rsidR="001B7098" w:rsidRPr="004374AA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  <w:b/>
        </w:rPr>
        <w:t xml:space="preserve">IV. OŚWIADCZENIE DOTYCZĄCE </w:t>
      </w:r>
      <w:r w:rsidRPr="004374AA">
        <w:rPr>
          <w:rFonts w:asciiTheme="minorHAnsi" w:hAnsiTheme="minorHAnsi" w:cstheme="minorHAnsi"/>
          <w:b/>
          <w:u w:val="single"/>
        </w:rPr>
        <w:t>PODANYCH INFORMACJI</w:t>
      </w:r>
      <w:r w:rsidRPr="004374AA">
        <w:rPr>
          <w:rFonts w:asciiTheme="minorHAnsi" w:hAnsiTheme="minorHAnsi" w:cstheme="minorHAnsi"/>
          <w:b/>
        </w:rPr>
        <w:t>:</w:t>
      </w:r>
    </w:p>
    <w:p w14:paraId="51E827FD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</w:p>
    <w:p w14:paraId="5253036E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</w:rPr>
      </w:pPr>
      <w:r w:rsidRPr="004374A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B769BA" w14:textId="77777777" w:rsidR="001B7098" w:rsidRPr="004374AA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lang w:eastAsia="pl-PL"/>
        </w:rPr>
      </w:pPr>
    </w:p>
    <w:p w14:paraId="785FEB72" w14:textId="77777777" w:rsidR="001B7098" w:rsidRPr="004374AA" w:rsidRDefault="001B7098" w:rsidP="001B7098">
      <w:pPr>
        <w:ind w:left="4922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12D85D51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0"/>
        </w:rPr>
      </w:pPr>
      <w:r w:rsidRPr="004374AA">
        <w:rPr>
          <w:rFonts w:asciiTheme="minorHAnsi" w:hAnsiTheme="minorHAnsi" w:cstheme="minorHAnsi"/>
          <w:b w:val="0"/>
          <w:bCs/>
          <w:sz w:val="20"/>
          <w:vertAlign w:val="superscript"/>
        </w:rPr>
        <w:t>1)</w:t>
      </w:r>
      <w:r w:rsidRPr="004374AA">
        <w:rPr>
          <w:rFonts w:asciiTheme="minorHAnsi" w:hAnsiTheme="minorHAnsi" w:cstheme="minorHAnsi"/>
          <w:b w:val="0"/>
          <w:bCs/>
          <w:sz w:val="20"/>
        </w:rPr>
        <w:t xml:space="preserve"> wypełnić, gdy zachodzą podstawy wykluczenia</w:t>
      </w:r>
      <w:bookmarkStart w:id="4" w:name="_Toc24620895"/>
    </w:p>
    <w:p w14:paraId="1180AB4B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0"/>
        </w:rPr>
      </w:pPr>
      <w:r w:rsidRPr="004374AA">
        <w:rPr>
          <w:rFonts w:asciiTheme="minorHAnsi" w:hAnsiTheme="minorHAnsi" w:cstheme="minorHAnsi"/>
          <w:b w:val="0"/>
          <w:bCs/>
          <w:sz w:val="20"/>
        </w:rPr>
        <w:t>* niepotrzebne skreślić</w:t>
      </w:r>
    </w:p>
    <w:p w14:paraId="61C3A01F" w14:textId="77777777" w:rsidR="00D903B8" w:rsidRPr="00096A66" w:rsidRDefault="001B7098" w:rsidP="00D903B8">
      <w:pPr>
        <w:pStyle w:val="Tekstpodstawowy"/>
        <w:rPr>
          <w:rFonts w:asciiTheme="minorHAnsi" w:hAnsiTheme="minorHAnsi" w:cstheme="minorHAnsi"/>
          <w:iCs/>
          <w:sz w:val="18"/>
          <w:szCs w:val="18"/>
        </w:rPr>
      </w:pPr>
      <w:r w:rsidRPr="004374AA">
        <w:rPr>
          <w:rFonts w:asciiTheme="minorHAnsi" w:eastAsia="Calibri" w:hAnsiTheme="minorHAnsi" w:cstheme="minorHAnsi"/>
          <w:sz w:val="20"/>
          <w:vertAlign w:val="superscript"/>
          <w:lang w:eastAsia="en-US"/>
        </w:rPr>
        <w:t>2</w:t>
      </w:r>
      <w:r w:rsidRPr="004374AA">
        <w:rPr>
          <w:rFonts w:asciiTheme="minorHAnsi" w:eastAsia="Calibri" w:hAnsiTheme="minorHAnsi" w:cstheme="minorHAnsi"/>
          <w:sz w:val="20"/>
          <w:lang w:eastAsia="en-US"/>
        </w:rPr>
        <w:t xml:space="preserve"> </w:t>
      </w:r>
      <w:r w:rsidR="00D903B8"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Zgodnie z treścią art. 7 ust. 1 ustawy z dnia 13 kwietnia 2022 r. </w:t>
      </w:r>
      <w:r w:rsidR="00D903B8"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="00D903B8" w:rsidRPr="004374AA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,  </w:t>
      </w:r>
      <w:r w:rsidR="00D903B8"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 xml:space="preserve">zwanej dalej „ustawą”, </w:t>
      </w:r>
      <w:r w:rsidR="00D903B8"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 </w:t>
      </w:r>
      <w:r w:rsidR="00D903B8" w:rsidRPr="004374AA">
        <w:rPr>
          <w:rFonts w:asciiTheme="minorHAnsi" w:hAnsiTheme="minorHAnsi" w:cstheme="minorHAnsi"/>
          <w:color w:val="222222"/>
          <w:sz w:val="18"/>
          <w:szCs w:val="18"/>
        </w:rPr>
        <w:t>postępowania o udzielenie zamówienia publicznego lub konkursu prowadzonego na podstawie ustawy Pzp wyklucza się:</w:t>
      </w:r>
    </w:p>
    <w:p w14:paraId="28E2B4AF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 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rozporządzeniu 269/2014 albo wpisanego na listę na podstawie decyzji w sprawie wpisu na listę rozstrzygającej o zastosowaniu środka, o którym mowa w art. 1 pkt 3 ustawy; </w:t>
      </w:r>
    </w:p>
    <w:p w14:paraId="1C3A54E0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2018r. o przeciwdziałaniu praniu pieniędzy oraz finansowaniu terroryzmu (Dz.U.2023.1124 t.j. z dnia 2023.06.16)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 zastosowaniu środka, o którym mowa w art. 1 pkt 3 ustawy; </w:t>
      </w:r>
    </w:p>
    <w:p w14:paraId="04D6CACE" w14:textId="77777777" w:rsidR="00D903B8" w:rsidRPr="00917B79" w:rsidRDefault="00D903B8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(Dz.U.2023.120 t.j. z dnia 2023.01.16),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p w14:paraId="59975BA3" w14:textId="3F2EE181" w:rsidR="001B7098" w:rsidRDefault="001B7098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65755B32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A7AF007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2865146E" w14:textId="77777777" w:rsidR="00C275CF" w:rsidRDefault="00C275CF" w:rsidP="00D903B8">
      <w:pPr>
        <w:jc w:val="both"/>
        <w:rPr>
          <w:rFonts w:asciiTheme="minorHAnsi" w:hAnsiTheme="minorHAnsi" w:cstheme="minorHAnsi"/>
          <w:color w:val="222222"/>
          <w:sz w:val="20"/>
          <w:szCs w:val="20"/>
        </w:rPr>
      </w:pPr>
    </w:p>
    <w:p w14:paraId="773594DC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bookmarkStart w:id="5" w:name="_Toc24620899"/>
      <w:bookmarkEnd w:id="4"/>
    </w:p>
    <w:p w14:paraId="5BF754B1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4C957693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257A7DB" w14:textId="77777777" w:rsidR="00F0416B" w:rsidRDefault="00F0416B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bookmarkEnd w:id="5"/>
    <w:p w14:paraId="5D9CB096" w14:textId="77777777" w:rsidR="001B7098" w:rsidRDefault="001B7098" w:rsidP="001B7098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B70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6F5D9" w14:textId="77777777" w:rsidR="006D1A70" w:rsidRDefault="006D1A70" w:rsidP="001B7098">
      <w:pPr>
        <w:spacing w:after="0" w:line="240" w:lineRule="auto"/>
      </w:pPr>
      <w:r>
        <w:separator/>
      </w:r>
    </w:p>
  </w:endnote>
  <w:endnote w:type="continuationSeparator" w:id="0">
    <w:p w14:paraId="1ED08E1D" w14:textId="77777777" w:rsidR="006D1A70" w:rsidRDefault="006D1A70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2B709" w14:textId="77777777" w:rsidR="006D1A70" w:rsidRDefault="006D1A70" w:rsidP="001B7098">
      <w:pPr>
        <w:spacing w:after="0" w:line="240" w:lineRule="auto"/>
      </w:pPr>
      <w:r>
        <w:separator/>
      </w:r>
    </w:p>
  </w:footnote>
  <w:footnote w:type="continuationSeparator" w:id="0">
    <w:p w14:paraId="4DDE8AD8" w14:textId="77777777" w:rsidR="006D1A70" w:rsidRDefault="006D1A70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2DDB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56AC3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2F3384"/>
    <w:rsid w:val="002F78FC"/>
    <w:rsid w:val="00300ED5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A5844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2714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1A70"/>
    <w:rsid w:val="006D432D"/>
    <w:rsid w:val="006E0845"/>
    <w:rsid w:val="006E1DC9"/>
    <w:rsid w:val="006E3B8B"/>
    <w:rsid w:val="006E4811"/>
    <w:rsid w:val="006F5E91"/>
    <w:rsid w:val="007128CB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4D7C"/>
    <w:rsid w:val="008160F8"/>
    <w:rsid w:val="00817D9E"/>
    <w:rsid w:val="008226A4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1128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C634A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2A9F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5</cp:revision>
  <cp:lastPrinted>2025-06-24T08:02:00Z</cp:lastPrinted>
  <dcterms:created xsi:type="dcterms:W3CDTF">2025-08-12T13:11:00Z</dcterms:created>
  <dcterms:modified xsi:type="dcterms:W3CDTF">2026-01-12T10:57:00Z</dcterms:modified>
</cp:coreProperties>
</file>